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42D" w:rsidRDefault="002D73F2">
      <w:pPr>
        <w:pStyle w:val="Heading1"/>
        <w:spacing w:line="240" w:lineRule="auto"/>
        <w:rPr>
          <w:rFonts w:eastAsia="Calibri" w:cs="Calibri"/>
        </w:rPr>
      </w:pPr>
      <w:bookmarkStart w:id="0" w:name="_heading=h.gjdgxs" w:colFirst="0" w:colLast="0"/>
      <w:bookmarkStart w:id="1" w:name="_GoBack"/>
      <w:bookmarkEnd w:id="0"/>
      <w:bookmarkEnd w:id="1"/>
      <w:r>
        <w:rPr>
          <w:noProof/>
          <w:lang w:val="en-CA"/>
        </w:rPr>
        <w:drawing>
          <wp:anchor distT="0" distB="0" distL="114300" distR="114300" simplePos="0" relativeHeight="251658240" behindDoc="0" locked="0" layoutInCell="1" hidden="0" allowOverlap="1">
            <wp:simplePos x="0" y="0"/>
            <wp:positionH relativeFrom="margin">
              <wp:posOffset>-27938</wp:posOffset>
            </wp:positionH>
            <wp:positionV relativeFrom="margin">
              <wp:posOffset>-464817</wp:posOffset>
            </wp:positionV>
            <wp:extent cx="1456690" cy="45974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56690" cy="459740"/>
                    </a:xfrm>
                    <a:prstGeom prst="rect">
                      <a:avLst/>
                    </a:prstGeom>
                    <a:ln/>
                  </pic:spPr>
                </pic:pic>
              </a:graphicData>
            </a:graphic>
          </wp:anchor>
        </w:drawing>
      </w:r>
      <w:r>
        <w:rPr>
          <w:rFonts w:eastAsia="Calibri" w:cs="Calibri"/>
        </w:rPr>
        <w:t>School Student Success Plan</w:t>
      </w:r>
    </w:p>
    <w:p w:rsidR="00F9442D" w:rsidRDefault="002D73F2">
      <w:pPr>
        <w:rPr>
          <w:b/>
        </w:rPr>
      </w:pPr>
      <w:r>
        <w:rPr>
          <w:b/>
        </w:rPr>
        <w:t xml:space="preserve">School: </w:t>
      </w:r>
      <w:r>
        <w:rPr>
          <w:b/>
        </w:rPr>
        <w:tab/>
        <w:t>Humber Park</w:t>
      </w:r>
      <w:r>
        <w:rPr>
          <w:b/>
        </w:rPr>
        <w:tab/>
      </w:r>
      <w:r>
        <w:rPr>
          <w:b/>
        </w:rPr>
        <w:tab/>
      </w:r>
      <w:r>
        <w:rPr>
          <w:b/>
        </w:rPr>
        <w:tab/>
      </w:r>
      <w:r>
        <w:rPr>
          <w:b/>
        </w:rPr>
        <w:tab/>
        <w:t xml:space="preserve">Grade Configuration: P-6                              </w:t>
      </w:r>
    </w:p>
    <w:p w:rsidR="00F9442D" w:rsidRDefault="002D73F2">
      <w:pPr>
        <w:rPr>
          <w:b/>
        </w:rPr>
      </w:pPr>
      <w:r>
        <w:rPr>
          <w:b/>
        </w:rPr>
        <w:t>Principal: Suzanne McKenzie</w:t>
      </w:r>
      <w:r>
        <w:rPr>
          <w:b/>
        </w:rPr>
        <w:tab/>
      </w:r>
      <w:r>
        <w:rPr>
          <w:b/>
        </w:rPr>
        <w:tab/>
      </w:r>
      <w:r>
        <w:rPr>
          <w:b/>
        </w:rPr>
        <w:tab/>
        <w:t>Student Enrollment: 177</w:t>
      </w:r>
    </w:p>
    <w:tbl>
      <w:tblPr>
        <w:tblStyle w:val="a2"/>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3330"/>
        <w:gridCol w:w="3600"/>
      </w:tblGrid>
      <w:tr w:rsidR="00F9442D">
        <w:tc>
          <w:tcPr>
            <w:tcW w:w="9985" w:type="dxa"/>
            <w:gridSpan w:val="3"/>
          </w:tcPr>
          <w:p w:rsidR="00F9442D" w:rsidRDefault="002D73F2">
            <w:pPr>
              <w:rPr>
                <w:b/>
                <w:sz w:val="24"/>
                <w:szCs w:val="24"/>
              </w:rPr>
            </w:pPr>
            <w:r>
              <w:rPr>
                <w:b/>
                <w:sz w:val="24"/>
                <w:szCs w:val="24"/>
              </w:rPr>
              <w:t>Literacy Goal:  To improve student achievement in Reading with an Emphasis on Accuracy, Fluency and deeper comprehension</w:t>
            </w:r>
          </w:p>
        </w:tc>
      </w:tr>
      <w:tr w:rsidR="00F9442D">
        <w:tc>
          <w:tcPr>
            <w:tcW w:w="3055" w:type="dxa"/>
            <w:shd w:val="clear" w:color="auto" w:fill="F2F2F2"/>
          </w:tcPr>
          <w:p w:rsidR="00F9442D" w:rsidRDefault="002D73F2">
            <w:pPr>
              <w:rPr>
                <w:b/>
              </w:rPr>
            </w:pPr>
            <w:r>
              <w:rPr>
                <w:b/>
              </w:rPr>
              <w:t>Student Evidence</w:t>
            </w:r>
          </w:p>
          <w:p w:rsidR="00F9442D" w:rsidRDefault="002D73F2">
            <w:pPr>
              <w:rPr>
                <w:i/>
              </w:rPr>
            </w:pPr>
            <w:r>
              <w:rPr>
                <w:i/>
              </w:rPr>
              <w:t xml:space="preserve">(Performance Measure(s))  </w:t>
            </w:r>
          </w:p>
        </w:tc>
        <w:tc>
          <w:tcPr>
            <w:tcW w:w="3330" w:type="dxa"/>
            <w:shd w:val="clear" w:color="auto" w:fill="F2F2F2"/>
          </w:tcPr>
          <w:p w:rsidR="00F9442D" w:rsidRDefault="002D73F2">
            <w:pPr>
              <w:rPr>
                <w:b/>
              </w:rPr>
            </w:pPr>
            <w:r>
              <w:rPr>
                <w:b/>
              </w:rPr>
              <w:t>Where did you begin?</w:t>
            </w:r>
          </w:p>
          <w:p w:rsidR="00F9442D" w:rsidRDefault="002D73F2">
            <w:r>
              <w:rPr>
                <w:i/>
              </w:rPr>
              <w:t>(Baseline: year and results)</w:t>
            </w:r>
            <w:r>
              <w:t xml:space="preserve">  </w:t>
            </w:r>
          </w:p>
        </w:tc>
        <w:tc>
          <w:tcPr>
            <w:tcW w:w="3600" w:type="dxa"/>
            <w:shd w:val="clear" w:color="auto" w:fill="F2F2F2"/>
          </w:tcPr>
          <w:p w:rsidR="00F9442D" w:rsidRDefault="002D73F2">
            <w:pPr>
              <w:rPr>
                <w:b/>
              </w:rPr>
            </w:pPr>
            <w:r>
              <w:rPr>
                <w:b/>
              </w:rPr>
              <w:t>Where do you want to be?</w:t>
            </w:r>
          </w:p>
          <w:p w:rsidR="00F9442D" w:rsidRDefault="002D73F2">
            <w:pPr>
              <w:rPr>
                <w:i/>
              </w:rPr>
            </w:pPr>
            <w:r>
              <w:rPr>
                <w:i/>
              </w:rPr>
              <w:t>(Target)</w:t>
            </w:r>
          </w:p>
        </w:tc>
      </w:tr>
      <w:tr w:rsidR="00F9442D">
        <w:tc>
          <w:tcPr>
            <w:tcW w:w="3055" w:type="dxa"/>
          </w:tcPr>
          <w:p w:rsidR="00F9442D" w:rsidRDefault="002D73F2">
            <w:r>
              <w:t xml:space="preserve">School Based Term 1 Reading Results </w:t>
            </w:r>
          </w:p>
        </w:tc>
        <w:tc>
          <w:tcPr>
            <w:tcW w:w="3330" w:type="dxa"/>
          </w:tcPr>
          <w:p w:rsidR="00F9442D" w:rsidRDefault="002D73F2">
            <w:r>
              <w:t>104/177 total students Meeting Grade Level Expectations</w:t>
            </w:r>
          </w:p>
          <w:p w:rsidR="00F9442D" w:rsidRDefault="00F9442D"/>
          <w:p w:rsidR="00F9442D" w:rsidRDefault="002D73F2">
            <w:r>
              <w:t>57/78  P-2 Meeting</w:t>
            </w:r>
          </w:p>
          <w:p w:rsidR="00F9442D" w:rsidRDefault="002D73F2">
            <w:r>
              <w:t xml:space="preserve"> (8 ANS kids in P-2 Not Meeting)</w:t>
            </w:r>
          </w:p>
          <w:p w:rsidR="00F9442D" w:rsidRDefault="00F9442D"/>
          <w:p w:rsidR="00F9442D" w:rsidRDefault="002D73F2">
            <w:r>
              <w:t>47/99 3-6 Meeting</w:t>
            </w:r>
          </w:p>
          <w:p w:rsidR="00F9442D" w:rsidRDefault="002D73F2">
            <w:r>
              <w:t>(data not segregated yet)</w:t>
            </w:r>
          </w:p>
          <w:p w:rsidR="00F9442D" w:rsidRDefault="00F9442D"/>
        </w:tc>
        <w:tc>
          <w:tcPr>
            <w:tcW w:w="3600" w:type="dxa"/>
          </w:tcPr>
          <w:p w:rsidR="00F9442D" w:rsidRDefault="002D73F2">
            <w:r>
              <w:t>Improvement from Term 1. To Increase the number of students meet</w:t>
            </w:r>
            <w:r>
              <w:t>ing grade level expectations in Reading from 58% to 75%</w:t>
            </w:r>
          </w:p>
        </w:tc>
      </w:tr>
      <w:tr w:rsidR="00F9442D">
        <w:tc>
          <w:tcPr>
            <w:tcW w:w="3055" w:type="dxa"/>
          </w:tcPr>
          <w:p w:rsidR="00F9442D" w:rsidRDefault="002D73F2">
            <w:r>
              <w:t>Meeting/Not Meeting</w:t>
            </w:r>
          </w:p>
        </w:tc>
        <w:tc>
          <w:tcPr>
            <w:tcW w:w="3330" w:type="dxa"/>
          </w:tcPr>
          <w:p w:rsidR="00F9442D" w:rsidRDefault="002D73F2">
            <w:r>
              <w:t>58% Meeting</w:t>
            </w:r>
          </w:p>
        </w:tc>
        <w:tc>
          <w:tcPr>
            <w:tcW w:w="3600" w:type="dxa"/>
          </w:tcPr>
          <w:p w:rsidR="00F9442D" w:rsidRDefault="002D73F2">
            <w:r>
              <w:t>75% Meeting</w:t>
            </w:r>
          </w:p>
        </w:tc>
      </w:tr>
      <w:tr w:rsidR="00F9442D">
        <w:tc>
          <w:tcPr>
            <w:tcW w:w="9985" w:type="dxa"/>
            <w:gridSpan w:val="3"/>
            <w:shd w:val="clear" w:color="auto" w:fill="F2F2F2"/>
          </w:tcPr>
          <w:p w:rsidR="00F9442D" w:rsidRDefault="002D73F2">
            <w:pPr>
              <w:rPr>
                <w:b/>
              </w:rPr>
            </w:pPr>
            <w:r>
              <w:rPr>
                <w:b/>
              </w:rPr>
              <w:t>Strategies:</w:t>
            </w:r>
            <w:r>
              <w:rPr>
                <w:b/>
              </w:rPr>
              <w:br/>
            </w:r>
            <w:r>
              <w:rPr>
                <w:i/>
              </w:rPr>
              <w:t>(assessment for learning, instruction and learning team focus)</w:t>
            </w:r>
          </w:p>
        </w:tc>
      </w:tr>
      <w:tr w:rsidR="00F9442D">
        <w:tc>
          <w:tcPr>
            <w:tcW w:w="9985" w:type="dxa"/>
            <w:gridSpan w:val="3"/>
          </w:tcPr>
          <w:p w:rsidR="00F9442D" w:rsidRDefault="002D73F2">
            <w:pPr>
              <w:rPr>
                <w:sz w:val="24"/>
                <w:szCs w:val="24"/>
              </w:rPr>
            </w:pPr>
            <w:r>
              <w:rPr>
                <w:sz w:val="24"/>
                <w:szCs w:val="24"/>
              </w:rPr>
              <w:t>-Teachers will continue to plan and implement culturally relevant reading workshop lessons in response to formative classroom data and PLC time to plan strategies to support students in reading achievement. Teachers will also look for trends in the data ac</w:t>
            </w:r>
            <w:r>
              <w:rPr>
                <w:sz w:val="24"/>
                <w:szCs w:val="24"/>
              </w:rPr>
              <w:t xml:space="preserve">ross classrooms. </w:t>
            </w:r>
          </w:p>
        </w:tc>
      </w:tr>
      <w:tr w:rsidR="00F9442D">
        <w:tc>
          <w:tcPr>
            <w:tcW w:w="9985" w:type="dxa"/>
            <w:gridSpan w:val="3"/>
          </w:tcPr>
          <w:p w:rsidR="00F9442D" w:rsidRDefault="002D73F2">
            <w:pPr>
              <w:rPr>
                <w:sz w:val="24"/>
                <w:szCs w:val="24"/>
              </w:rPr>
            </w:pPr>
            <w:r>
              <w:rPr>
                <w:sz w:val="24"/>
                <w:szCs w:val="24"/>
              </w:rPr>
              <w:t>-Teachers will explicitly teach/model the expectations/role of students during each part of the reading workshop. Within the reading workshop, teachers will provide explicit instruction on accuracy, fluency and comprehension skills. This</w:t>
            </w:r>
            <w:r>
              <w:rPr>
                <w:sz w:val="24"/>
                <w:szCs w:val="24"/>
              </w:rPr>
              <w:t xml:space="preserve"> work will be supported by resources such as </w:t>
            </w:r>
            <w:r>
              <w:rPr>
                <w:i/>
                <w:sz w:val="24"/>
                <w:szCs w:val="24"/>
              </w:rPr>
              <w:t>The Reading Strategies Book</w:t>
            </w:r>
            <w:r>
              <w:rPr>
                <w:sz w:val="24"/>
                <w:szCs w:val="24"/>
              </w:rPr>
              <w:t xml:space="preserve"> by Jennifer Serravallo which was provided to each classroom. Teachers will co-create anchor charts during the Time to Learn part/Instruction to show kids what success looks like and w</w:t>
            </w:r>
            <w:r>
              <w:rPr>
                <w:sz w:val="24"/>
                <w:szCs w:val="24"/>
              </w:rPr>
              <w:t>here to get help.</w:t>
            </w:r>
          </w:p>
        </w:tc>
      </w:tr>
      <w:tr w:rsidR="00F9442D">
        <w:tc>
          <w:tcPr>
            <w:tcW w:w="9985" w:type="dxa"/>
            <w:gridSpan w:val="3"/>
          </w:tcPr>
          <w:p w:rsidR="00F9442D" w:rsidRDefault="002D73F2">
            <w:pPr>
              <w:rPr>
                <w:sz w:val="24"/>
                <w:szCs w:val="24"/>
              </w:rPr>
            </w:pPr>
            <w:r>
              <w:rPr>
                <w:sz w:val="24"/>
                <w:szCs w:val="24"/>
              </w:rPr>
              <w:t>-Teachers will know students as they are known and use this knowledge to match instruction strategies</w:t>
            </w:r>
          </w:p>
        </w:tc>
      </w:tr>
      <w:tr w:rsidR="00F9442D">
        <w:tc>
          <w:tcPr>
            <w:tcW w:w="9985" w:type="dxa"/>
            <w:gridSpan w:val="3"/>
          </w:tcPr>
          <w:p w:rsidR="00F9442D" w:rsidRDefault="002D73F2">
            <w:pPr>
              <w:rPr>
                <w:sz w:val="24"/>
                <w:szCs w:val="24"/>
              </w:rPr>
            </w:pPr>
            <w:r>
              <w:rPr>
                <w:sz w:val="24"/>
                <w:szCs w:val="24"/>
              </w:rPr>
              <w:t>-Teachers will continue to establish learning goals and criteria for success with students. The targets will provide a focus for the w</w:t>
            </w:r>
            <w:r>
              <w:rPr>
                <w:sz w:val="24"/>
                <w:szCs w:val="24"/>
              </w:rPr>
              <w:t xml:space="preserve">orkshop share component. </w:t>
            </w:r>
          </w:p>
        </w:tc>
      </w:tr>
      <w:tr w:rsidR="00F9442D">
        <w:tc>
          <w:tcPr>
            <w:tcW w:w="9985" w:type="dxa"/>
            <w:gridSpan w:val="3"/>
          </w:tcPr>
          <w:p w:rsidR="00F9442D" w:rsidRDefault="002D73F2">
            <w:pPr>
              <w:rPr>
                <w:sz w:val="24"/>
                <w:szCs w:val="24"/>
              </w:rPr>
            </w:pPr>
            <w:r>
              <w:rPr>
                <w:sz w:val="24"/>
                <w:szCs w:val="24"/>
              </w:rPr>
              <w:t>-Increased use of Formative Assessment which will be supported with appropriate PD. For example, a Running Record PD was provided in the fall by our Reading Recovery Teacher Leader and our P-2 teachers have been working with a Li</w:t>
            </w:r>
            <w:r>
              <w:rPr>
                <w:sz w:val="24"/>
                <w:szCs w:val="24"/>
              </w:rPr>
              <w:t xml:space="preserve">teracy Coach. </w:t>
            </w:r>
          </w:p>
        </w:tc>
      </w:tr>
    </w:tbl>
    <w:p w:rsidR="00F9442D" w:rsidRDefault="00F9442D">
      <w:pPr>
        <w:rPr>
          <w:sz w:val="24"/>
          <w:szCs w:val="24"/>
        </w:rPr>
      </w:pPr>
    </w:p>
    <w:tbl>
      <w:tblPr>
        <w:tblStyle w:val="a3"/>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3330"/>
        <w:gridCol w:w="3600"/>
      </w:tblGrid>
      <w:tr w:rsidR="00F9442D">
        <w:tc>
          <w:tcPr>
            <w:tcW w:w="9985" w:type="dxa"/>
            <w:gridSpan w:val="3"/>
          </w:tcPr>
          <w:p w:rsidR="00F9442D" w:rsidRDefault="002D73F2">
            <w:pPr>
              <w:rPr>
                <w:b/>
                <w:sz w:val="24"/>
                <w:szCs w:val="24"/>
              </w:rPr>
            </w:pPr>
            <w:r>
              <w:rPr>
                <w:b/>
                <w:sz w:val="24"/>
                <w:szCs w:val="24"/>
              </w:rPr>
              <w:t>Mathematics Goal: To improve Student Achievement in Number Sense</w:t>
            </w:r>
          </w:p>
        </w:tc>
      </w:tr>
      <w:tr w:rsidR="00F9442D">
        <w:tc>
          <w:tcPr>
            <w:tcW w:w="3055" w:type="dxa"/>
            <w:shd w:val="clear" w:color="auto" w:fill="F2F2F2"/>
          </w:tcPr>
          <w:p w:rsidR="00F9442D" w:rsidRDefault="002D73F2">
            <w:pPr>
              <w:rPr>
                <w:b/>
              </w:rPr>
            </w:pPr>
            <w:r>
              <w:rPr>
                <w:b/>
              </w:rPr>
              <w:t>Student Evidence</w:t>
            </w:r>
          </w:p>
          <w:p w:rsidR="00F9442D" w:rsidRDefault="002D73F2">
            <w:pPr>
              <w:rPr>
                <w:i/>
              </w:rPr>
            </w:pPr>
            <w:r>
              <w:rPr>
                <w:i/>
              </w:rPr>
              <w:t xml:space="preserve">(Performance Measure(s))  </w:t>
            </w:r>
          </w:p>
        </w:tc>
        <w:tc>
          <w:tcPr>
            <w:tcW w:w="3330" w:type="dxa"/>
            <w:shd w:val="clear" w:color="auto" w:fill="F2F2F2"/>
          </w:tcPr>
          <w:p w:rsidR="00F9442D" w:rsidRDefault="002D73F2">
            <w:pPr>
              <w:rPr>
                <w:b/>
              </w:rPr>
            </w:pPr>
            <w:r>
              <w:rPr>
                <w:b/>
              </w:rPr>
              <w:t>Where did you begin?</w:t>
            </w:r>
          </w:p>
          <w:p w:rsidR="00F9442D" w:rsidRDefault="002D73F2">
            <w:r>
              <w:rPr>
                <w:i/>
              </w:rPr>
              <w:t>(Baseline: year and results)</w:t>
            </w:r>
            <w:r>
              <w:t xml:space="preserve">  </w:t>
            </w:r>
          </w:p>
        </w:tc>
        <w:tc>
          <w:tcPr>
            <w:tcW w:w="3600" w:type="dxa"/>
            <w:shd w:val="clear" w:color="auto" w:fill="F2F2F2"/>
          </w:tcPr>
          <w:p w:rsidR="00F9442D" w:rsidRDefault="002D73F2">
            <w:pPr>
              <w:rPr>
                <w:b/>
              </w:rPr>
            </w:pPr>
            <w:r>
              <w:rPr>
                <w:b/>
              </w:rPr>
              <w:t>Where do you want to be?</w:t>
            </w:r>
          </w:p>
          <w:p w:rsidR="00F9442D" w:rsidRDefault="002D73F2">
            <w:pPr>
              <w:rPr>
                <w:i/>
              </w:rPr>
            </w:pPr>
            <w:r>
              <w:rPr>
                <w:i/>
              </w:rPr>
              <w:t xml:space="preserve">(Target) End of year </w:t>
            </w:r>
          </w:p>
        </w:tc>
      </w:tr>
      <w:tr w:rsidR="00F9442D">
        <w:tc>
          <w:tcPr>
            <w:tcW w:w="3055" w:type="dxa"/>
          </w:tcPr>
          <w:p w:rsidR="00F9442D" w:rsidRDefault="002D73F2">
            <w:r>
              <w:t>Term 1 Unit Assessment on Numeracy: Representing and Partitioning Numbers</w:t>
            </w:r>
          </w:p>
        </w:tc>
        <w:tc>
          <w:tcPr>
            <w:tcW w:w="3330" w:type="dxa"/>
          </w:tcPr>
          <w:p w:rsidR="00F9442D" w:rsidRDefault="002D73F2">
            <w:r>
              <w:t>24 students Primary- 100%</w:t>
            </w:r>
          </w:p>
          <w:p w:rsidR="00F9442D" w:rsidRDefault="002D73F2">
            <w:r>
              <w:t>27 students Grade 1- 78% meeting</w:t>
            </w:r>
          </w:p>
          <w:p w:rsidR="00F9442D" w:rsidRDefault="002D73F2">
            <w:r>
              <w:t>17 students Grade 2-78% meeting</w:t>
            </w:r>
          </w:p>
          <w:p w:rsidR="00F9442D" w:rsidRDefault="002D73F2">
            <w:r>
              <w:t>22 students Grade 3-33%Meeting</w:t>
            </w:r>
          </w:p>
          <w:p w:rsidR="00F9442D" w:rsidRDefault="002D73F2">
            <w:r>
              <w:lastRenderedPageBreak/>
              <w:t>22 students Grade 4 59% Meeting</w:t>
            </w:r>
          </w:p>
          <w:p w:rsidR="00F9442D" w:rsidRDefault="002D73F2">
            <w:r>
              <w:t>28 Grade 5 75% Meeting</w:t>
            </w:r>
          </w:p>
          <w:p w:rsidR="00F9442D" w:rsidRDefault="002D73F2">
            <w:r>
              <w:t>32 Grade 6 58% Meeting</w:t>
            </w:r>
          </w:p>
          <w:p w:rsidR="00F9442D" w:rsidRDefault="00F9442D"/>
          <w:p w:rsidR="00F9442D" w:rsidRDefault="00F9442D"/>
        </w:tc>
        <w:tc>
          <w:tcPr>
            <w:tcW w:w="3600" w:type="dxa"/>
          </w:tcPr>
          <w:p w:rsidR="00F9442D" w:rsidRDefault="002D73F2">
            <w:r>
              <w:lastRenderedPageBreak/>
              <w:t>End of Year Targets- Primary- Maintain</w:t>
            </w:r>
          </w:p>
          <w:p w:rsidR="00F9442D" w:rsidRDefault="002D73F2">
            <w:r>
              <w:t xml:space="preserve">Grade 1- 10%  Improvement </w:t>
            </w:r>
          </w:p>
          <w:p w:rsidR="00F9442D" w:rsidRDefault="002D73F2">
            <w:r>
              <w:t>Grade 2- 10% Improvement</w:t>
            </w:r>
          </w:p>
          <w:p w:rsidR="00F9442D" w:rsidRDefault="002D73F2">
            <w:r>
              <w:lastRenderedPageBreak/>
              <w:t>Grade 3- 30% Improvement</w:t>
            </w:r>
          </w:p>
          <w:p w:rsidR="00F9442D" w:rsidRDefault="002D73F2">
            <w:r>
              <w:t>Grade 4 - 15% Improvement</w:t>
            </w:r>
          </w:p>
          <w:p w:rsidR="00F9442D" w:rsidRDefault="002D73F2">
            <w:r>
              <w:t>Grade 5-10% Improvement</w:t>
            </w:r>
          </w:p>
          <w:p w:rsidR="00F9442D" w:rsidRDefault="002D73F2">
            <w:r>
              <w:t xml:space="preserve">Grade 6- 15% Improvement </w:t>
            </w:r>
          </w:p>
        </w:tc>
      </w:tr>
      <w:tr w:rsidR="00F9442D">
        <w:tc>
          <w:tcPr>
            <w:tcW w:w="3055" w:type="dxa"/>
          </w:tcPr>
          <w:p w:rsidR="00F9442D" w:rsidRDefault="00F9442D"/>
        </w:tc>
        <w:tc>
          <w:tcPr>
            <w:tcW w:w="3330" w:type="dxa"/>
          </w:tcPr>
          <w:p w:rsidR="00F9442D" w:rsidRDefault="00F9442D"/>
        </w:tc>
        <w:tc>
          <w:tcPr>
            <w:tcW w:w="3600" w:type="dxa"/>
          </w:tcPr>
          <w:p w:rsidR="00F9442D" w:rsidRDefault="002D73F2">
            <w:r>
              <w:t>Show improvement after 1st 6 week cy</w:t>
            </w:r>
            <w:r>
              <w:t>cle. February 2022.</w:t>
            </w:r>
          </w:p>
        </w:tc>
      </w:tr>
      <w:tr w:rsidR="00F9442D">
        <w:tc>
          <w:tcPr>
            <w:tcW w:w="3055" w:type="dxa"/>
          </w:tcPr>
          <w:p w:rsidR="00F9442D" w:rsidRDefault="002D73F2">
            <w:pPr>
              <w:rPr>
                <w:i/>
              </w:rPr>
            </w:pPr>
            <w:r>
              <w:t xml:space="preserve">Term 1 Unit Assessment on Numeracy: Representing and Partitioning Numbers - </w:t>
            </w:r>
            <w:r>
              <w:rPr>
                <w:i/>
              </w:rPr>
              <w:t>Percentage of students with Limited / Developing Comprehension.</w:t>
            </w:r>
          </w:p>
        </w:tc>
        <w:tc>
          <w:tcPr>
            <w:tcW w:w="3330" w:type="dxa"/>
          </w:tcPr>
          <w:p w:rsidR="00F9442D" w:rsidRDefault="002D73F2">
            <w:r>
              <w:t>Not Meeting</w:t>
            </w:r>
          </w:p>
          <w:p w:rsidR="00F9442D" w:rsidRDefault="002D73F2">
            <w:r>
              <w:t>Grade Primary - 0%</w:t>
            </w:r>
          </w:p>
          <w:p w:rsidR="00F9442D" w:rsidRDefault="002D73F2">
            <w:r>
              <w:t>Grade 1-23% (57% of ANSS)</w:t>
            </w:r>
          </w:p>
          <w:p w:rsidR="00F9442D" w:rsidRDefault="002D73F2">
            <w:r>
              <w:t>Grade 2-22% (38% of ANSS)</w:t>
            </w:r>
          </w:p>
          <w:p w:rsidR="00F9442D" w:rsidRDefault="002D73F2">
            <w:r>
              <w:t>Grade 3-67% (100% of ANSS)</w:t>
            </w:r>
          </w:p>
          <w:p w:rsidR="00F9442D" w:rsidRDefault="002D73F2">
            <w:r>
              <w:t>Grade 4 -40% (9% of ANSS)</w:t>
            </w:r>
          </w:p>
          <w:p w:rsidR="00F9442D" w:rsidRDefault="002D73F2">
            <w:r>
              <w:t>Grade 5-41% (35% of ANSS)</w:t>
            </w:r>
          </w:p>
          <w:p w:rsidR="00F9442D" w:rsidRDefault="002D73F2">
            <w:r>
              <w:t>Grade 6-52% (54% of ANSS)</w:t>
            </w:r>
          </w:p>
          <w:p w:rsidR="00F9442D" w:rsidRDefault="00F9442D"/>
          <w:p w:rsidR="00F9442D" w:rsidRDefault="00F9442D"/>
        </w:tc>
        <w:tc>
          <w:tcPr>
            <w:tcW w:w="3600" w:type="dxa"/>
          </w:tcPr>
          <w:p w:rsidR="00F9442D" w:rsidRDefault="002D73F2">
            <w:r>
              <w:t>End of Year Targets-</w:t>
            </w:r>
          </w:p>
          <w:p w:rsidR="00F9442D" w:rsidRDefault="002D73F2">
            <w:r>
              <w:t>An increase in the achievement of our ANS grade level cohorts by 10%.</w:t>
            </w:r>
          </w:p>
        </w:tc>
      </w:tr>
      <w:tr w:rsidR="00F9442D">
        <w:tc>
          <w:tcPr>
            <w:tcW w:w="3055" w:type="dxa"/>
          </w:tcPr>
          <w:p w:rsidR="00F9442D" w:rsidRDefault="00F9442D"/>
        </w:tc>
        <w:tc>
          <w:tcPr>
            <w:tcW w:w="3330" w:type="dxa"/>
          </w:tcPr>
          <w:p w:rsidR="00F9442D" w:rsidRDefault="00F9442D"/>
        </w:tc>
        <w:tc>
          <w:tcPr>
            <w:tcW w:w="3600" w:type="dxa"/>
          </w:tcPr>
          <w:p w:rsidR="00F9442D" w:rsidRDefault="00F9442D"/>
        </w:tc>
      </w:tr>
      <w:tr w:rsidR="00F9442D">
        <w:tc>
          <w:tcPr>
            <w:tcW w:w="9985" w:type="dxa"/>
            <w:gridSpan w:val="3"/>
            <w:shd w:val="clear" w:color="auto" w:fill="F2F2F2"/>
          </w:tcPr>
          <w:p w:rsidR="00F9442D" w:rsidRDefault="002D73F2">
            <w:pPr>
              <w:rPr>
                <w:b/>
              </w:rPr>
            </w:pPr>
            <w:r>
              <w:rPr>
                <w:b/>
              </w:rPr>
              <w:t>Strategies:</w:t>
            </w:r>
            <w:r>
              <w:rPr>
                <w:b/>
              </w:rPr>
              <w:br/>
            </w:r>
            <w:r>
              <w:rPr>
                <w:i/>
              </w:rPr>
              <w:t>(assessment for learning, instruction and</w:t>
            </w:r>
            <w:r>
              <w:rPr>
                <w:i/>
              </w:rPr>
              <w:t xml:space="preserve"> learning team focus)</w:t>
            </w:r>
          </w:p>
        </w:tc>
      </w:tr>
      <w:tr w:rsidR="00F9442D">
        <w:tc>
          <w:tcPr>
            <w:tcW w:w="9985" w:type="dxa"/>
            <w:gridSpan w:val="3"/>
          </w:tcPr>
          <w:p w:rsidR="00F9442D" w:rsidRDefault="002D73F2">
            <w:r>
              <w:rPr>
                <w:b/>
              </w:rPr>
              <w:t>-</w:t>
            </w:r>
            <w:r>
              <w:t>Use Constructivist approach to teaching Math promoting various strategies and providing students with multiple pathways to learn and show learning. Examples include but are not limited to using manipulatives to teach new concepts and have available for stu</w:t>
            </w:r>
            <w:r>
              <w:t xml:space="preserve">dents. </w:t>
            </w:r>
          </w:p>
        </w:tc>
      </w:tr>
      <w:tr w:rsidR="00F9442D">
        <w:tc>
          <w:tcPr>
            <w:tcW w:w="9985" w:type="dxa"/>
            <w:gridSpan w:val="3"/>
          </w:tcPr>
          <w:p w:rsidR="00F9442D" w:rsidRDefault="00F9442D">
            <w:pPr>
              <w:rPr>
                <w:sz w:val="24"/>
                <w:szCs w:val="24"/>
              </w:rPr>
            </w:pPr>
          </w:p>
        </w:tc>
      </w:tr>
      <w:tr w:rsidR="00F9442D">
        <w:tc>
          <w:tcPr>
            <w:tcW w:w="9985" w:type="dxa"/>
            <w:gridSpan w:val="3"/>
          </w:tcPr>
          <w:p w:rsidR="00F9442D" w:rsidRDefault="002D73F2">
            <w:pPr>
              <w:rPr>
                <w:sz w:val="24"/>
                <w:szCs w:val="24"/>
              </w:rPr>
            </w:pPr>
            <w:r>
              <w:rPr>
                <w:sz w:val="24"/>
                <w:szCs w:val="24"/>
              </w:rPr>
              <w:t>-Teachers will know students as they are known and use this knowledge to match instruction strategies</w:t>
            </w:r>
          </w:p>
        </w:tc>
      </w:tr>
      <w:tr w:rsidR="00F9442D">
        <w:tc>
          <w:tcPr>
            <w:tcW w:w="9985" w:type="dxa"/>
            <w:gridSpan w:val="3"/>
          </w:tcPr>
          <w:p w:rsidR="00F9442D" w:rsidRDefault="002D73F2">
            <w:pPr>
              <w:rPr>
                <w:sz w:val="24"/>
                <w:szCs w:val="24"/>
              </w:rPr>
            </w:pPr>
            <w:r>
              <w:rPr>
                <w:sz w:val="24"/>
                <w:szCs w:val="24"/>
              </w:rPr>
              <w:t>-Use day to day formative assessment to gather information about what students can do and need to learn. Classroom assessment will continue to be supported with appropriate PD. For example, our Math Support Teacher provided a presentation on student mathem</w:t>
            </w:r>
            <w:r>
              <w:rPr>
                <w:sz w:val="24"/>
                <w:szCs w:val="24"/>
              </w:rPr>
              <w:t xml:space="preserve">aticians and two of our teachers have been working with a Math Coach. </w:t>
            </w:r>
          </w:p>
          <w:p w:rsidR="00F9442D" w:rsidRDefault="002D73F2">
            <w:pPr>
              <w:rPr>
                <w:sz w:val="24"/>
                <w:szCs w:val="24"/>
              </w:rPr>
            </w:pPr>
            <w:r>
              <w:rPr>
                <w:sz w:val="24"/>
                <w:szCs w:val="24"/>
              </w:rPr>
              <w:t>-Use Knowledgehook as a formative assessment tool</w:t>
            </w:r>
          </w:p>
        </w:tc>
      </w:tr>
      <w:tr w:rsidR="00F9442D">
        <w:tc>
          <w:tcPr>
            <w:tcW w:w="9985" w:type="dxa"/>
            <w:gridSpan w:val="3"/>
          </w:tcPr>
          <w:p w:rsidR="00F9442D" w:rsidRDefault="002D73F2">
            <w:pPr>
              <w:rPr>
                <w:b/>
              </w:rPr>
            </w:pPr>
            <w:r>
              <w:rPr>
                <w:sz w:val="24"/>
                <w:szCs w:val="24"/>
              </w:rPr>
              <w:t>-Teachers will use PLC time to review classroom assessments and plan strategies to support students in number sense achievement. Teach</w:t>
            </w:r>
            <w:r>
              <w:rPr>
                <w:sz w:val="24"/>
                <w:szCs w:val="24"/>
              </w:rPr>
              <w:t xml:space="preserve">ers will also look for trends in the data across classrooms. </w:t>
            </w:r>
          </w:p>
        </w:tc>
      </w:tr>
      <w:tr w:rsidR="00F9442D">
        <w:tc>
          <w:tcPr>
            <w:tcW w:w="9985" w:type="dxa"/>
            <w:gridSpan w:val="3"/>
          </w:tcPr>
          <w:p w:rsidR="00F9442D" w:rsidRDefault="002D73F2">
            <w:r>
              <w:t xml:space="preserve">-Within the three-part lesson approach establish daily learning targets and use those targets and co-created anchor charts to provide exemplars  and self-evaluation. </w:t>
            </w:r>
          </w:p>
        </w:tc>
      </w:tr>
    </w:tbl>
    <w:p w:rsidR="00F9442D" w:rsidRDefault="00F9442D">
      <w:pPr>
        <w:pBdr>
          <w:top w:val="nil"/>
          <w:left w:val="nil"/>
          <w:bottom w:val="nil"/>
          <w:right w:val="nil"/>
          <w:between w:val="nil"/>
        </w:pBdr>
        <w:ind w:left="720"/>
        <w:rPr>
          <w:color w:val="000000"/>
          <w:sz w:val="24"/>
          <w:szCs w:val="24"/>
        </w:rPr>
      </w:pPr>
    </w:p>
    <w:tbl>
      <w:tblPr>
        <w:tblStyle w:val="a4"/>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3330"/>
        <w:gridCol w:w="3600"/>
      </w:tblGrid>
      <w:tr w:rsidR="00F9442D">
        <w:tc>
          <w:tcPr>
            <w:tcW w:w="9985" w:type="dxa"/>
            <w:gridSpan w:val="3"/>
          </w:tcPr>
          <w:p w:rsidR="00F9442D" w:rsidRDefault="002D73F2">
            <w:pPr>
              <w:rPr>
                <w:b/>
                <w:sz w:val="24"/>
                <w:szCs w:val="24"/>
              </w:rPr>
            </w:pPr>
            <w:r>
              <w:rPr>
                <w:b/>
                <w:sz w:val="24"/>
                <w:szCs w:val="24"/>
              </w:rPr>
              <w:t xml:space="preserve">Well-Being Goal:  To Improve Student Well Being </w:t>
            </w:r>
          </w:p>
        </w:tc>
      </w:tr>
      <w:tr w:rsidR="00F9442D">
        <w:tc>
          <w:tcPr>
            <w:tcW w:w="3055" w:type="dxa"/>
            <w:shd w:val="clear" w:color="auto" w:fill="F2F2F2"/>
          </w:tcPr>
          <w:p w:rsidR="00F9442D" w:rsidRDefault="002D73F2">
            <w:pPr>
              <w:rPr>
                <w:b/>
              </w:rPr>
            </w:pPr>
            <w:r>
              <w:rPr>
                <w:b/>
              </w:rPr>
              <w:t>Student Evidence</w:t>
            </w:r>
          </w:p>
          <w:p w:rsidR="00F9442D" w:rsidRDefault="002D73F2">
            <w:pPr>
              <w:rPr>
                <w:i/>
              </w:rPr>
            </w:pPr>
            <w:r>
              <w:rPr>
                <w:i/>
              </w:rPr>
              <w:t xml:space="preserve">(Performance Measure(s))  </w:t>
            </w:r>
          </w:p>
        </w:tc>
        <w:tc>
          <w:tcPr>
            <w:tcW w:w="3330" w:type="dxa"/>
            <w:shd w:val="clear" w:color="auto" w:fill="F2F2F2"/>
          </w:tcPr>
          <w:p w:rsidR="00F9442D" w:rsidRDefault="002D73F2">
            <w:pPr>
              <w:rPr>
                <w:b/>
              </w:rPr>
            </w:pPr>
            <w:r>
              <w:rPr>
                <w:b/>
              </w:rPr>
              <w:t>Where did you begin?</w:t>
            </w:r>
          </w:p>
          <w:p w:rsidR="00F9442D" w:rsidRDefault="002D73F2">
            <w:r>
              <w:rPr>
                <w:i/>
              </w:rPr>
              <w:t>(Baseline: year and results)</w:t>
            </w:r>
            <w:r>
              <w:t xml:space="preserve">  </w:t>
            </w:r>
          </w:p>
        </w:tc>
        <w:tc>
          <w:tcPr>
            <w:tcW w:w="3600" w:type="dxa"/>
            <w:shd w:val="clear" w:color="auto" w:fill="F2F2F2"/>
          </w:tcPr>
          <w:p w:rsidR="00F9442D" w:rsidRDefault="002D73F2">
            <w:pPr>
              <w:rPr>
                <w:b/>
              </w:rPr>
            </w:pPr>
            <w:r>
              <w:rPr>
                <w:b/>
              </w:rPr>
              <w:t>Where do you want to be?</w:t>
            </w:r>
          </w:p>
          <w:p w:rsidR="00F9442D" w:rsidRDefault="002D73F2">
            <w:pPr>
              <w:rPr>
                <w:i/>
              </w:rPr>
            </w:pPr>
            <w:r>
              <w:rPr>
                <w:i/>
              </w:rPr>
              <w:t>(Target)</w:t>
            </w:r>
          </w:p>
        </w:tc>
      </w:tr>
      <w:tr w:rsidR="00F9442D">
        <w:tc>
          <w:tcPr>
            <w:tcW w:w="3055" w:type="dxa"/>
          </w:tcPr>
          <w:p w:rsidR="00F9442D" w:rsidRDefault="002D73F2">
            <w:r>
              <w:t>Incident Reports</w:t>
            </w:r>
          </w:p>
          <w:p w:rsidR="00F9442D" w:rsidRDefault="002D73F2">
            <w:r>
              <w:t>from September 6th-Dec 14th 2021</w:t>
            </w:r>
          </w:p>
        </w:tc>
        <w:tc>
          <w:tcPr>
            <w:tcW w:w="3330" w:type="dxa"/>
          </w:tcPr>
          <w:p w:rsidR="00F9442D" w:rsidRDefault="002D73F2">
            <w:r>
              <w:t xml:space="preserve"># </w:t>
            </w:r>
            <w:r>
              <w:rPr>
                <w:rFonts w:ascii="Arial" w:eastAsia="Arial" w:hAnsi="Arial" w:cs="Arial"/>
                <w:color w:val="444444"/>
                <w:sz w:val="17"/>
                <w:szCs w:val="17"/>
              </w:rPr>
              <w:t>Bullying</w:t>
            </w:r>
            <w:r>
              <w:rPr>
                <w:rFonts w:ascii="Arial" w:eastAsia="Arial" w:hAnsi="Arial" w:cs="Arial"/>
                <w:color w:val="444444"/>
                <w:sz w:val="17"/>
                <w:szCs w:val="17"/>
                <w:shd w:val="clear" w:color="auto" w:fill="F6F6F6"/>
              </w:rPr>
              <w:t xml:space="preserve">, </w:t>
            </w:r>
            <w:r>
              <w:rPr>
                <w:rFonts w:ascii="Arial" w:eastAsia="Arial" w:hAnsi="Arial" w:cs="Arial"/>
                <w:color w:val="444444"/>
                <w:sz w:val="17"/>
                <w:szCs w:val="17"/>
              </w:rPr>
              <w:t>Cyberbullying</w:t>
            </w:r>
            <w:r>
              <w:rPr>
                <w:rFonts w:ascii="Arial" w:eastAsia="Arial" w:hAnsi="Arial" w:cs="Arial"/>
                <w:color w:val="444444"/>
                <w:sz w:val="17"/>
                <w:szCs w:val="17"/>
                <w:shd w:val="clear" w:color="auto" w:fill="F6F6F6"/>
              </w:rPr>
              <w:t xml:space="preserve">, </w:t>
            </w:r>
            <w:r>
              <w:rPr>
                <w:rFonts w:ascii="Arial" w:eastAsia="Arial" w:hAnsi="Arial" w:cs="Arial"/>
                <w:color w:val="444444"/>
                <w:sz w:val="17"/>
                <w:szCs w:val="17"/>
              </w:rPr>
              <w:t>Discriminatory behaviour</w:t>
            </w:r>
            <w:r>
              <w:rPr>
                <w:rFonts w:ascii="Arial" w:eastAsia="Arial" w:hAnsi="Arial" w:cs="Arial"/>
                <w:color w:val="444444"/>
                <w:sz w:val="17"/>
                <w:szCs w:val="17"/>
                <w:shd w:val="clear" w:color="auto" w:fill="F6F6F6"/>
              </w:rPr>
              <w:t xml:space="preserve">, </w:t>
            </w:r>
            <w:r>
              <w:rPr>
                <w:rFonts w:ascii="Arial" w:eastAsia="Arial" w:hAnsi="Arial" w:cs="Arial"/>
                <w:color w:val="444444"/>
                <w:sz w:val="17"/>
                <w:szCs w:val="17"/>
              </w:rPr>
              <w:t>Physical violence</w:t>
            </w:r>
            <w:r>
              <w:rPr>
                <w:rFonts w:ascii="Arial" w:eastAsia="Arial" w:hAnsi="Arial" w:cs="Arial"/>
                <w:color w:val="444444"/>
                <w:sz w:val="17"/>
                <w:szCs w:val="17"/>
                <w:shd w:val="clear" w:color="auto" w:fill="F6F6F6"/>
              </w:rPr>
              <w:t xml:space="preserve">, </w:t>
            </w:r>
            <w:r>
              <w:rPr>
                <w:rFonts w:ascii="Arial" w:eastAsia="Arial" w:hAnsi="Arial" w:cs="Arial"/>
                <w:color w:val="444444"/>
                <w:sz w:val="17"/>
                <w:szCs w:val="17"/>
              </w:rPr>
              <w:t>Racist behaviour  83</w:t>
            </w:r>
          </w:p>
        </w:tc>
        <w:tc>
          <w:tcPr>
            <w:tcW w:w="3600" w:type="dxa"/>
          </w:tcPr>
          <w:p w:rsidR="00F9442D" w:rsidRDefault="002D73F2">
            <w:r>
              <w:t xml:space="preserve">Reduce the number of incidents of this nature by half. </w:t>
            </w:r>
          </w:p>
        </w:tc>
      </w:tr>
      <w:tr w:rsidR="00F9442D">
        <w:tc>
          <w:tcPr>
            <w:tcW w:w="3055" w:type="dxa"/>
          </w:tcPr>
          <w:p w:rsidR="00F9442D" w:rsidRDefault="00F9442D"/>
        </w:tc>
        <w:tc>
          <w:tcPr>
            <w:tcW w:w="3330" w:type="dxa"/>
          </w:tcPr>
          <w:p w:rsidR="00F9442D" w:rsidRDefault="00F9442D"/>
        </w:tc>
        <w:tc>
          <w:tcPr>
            <w:tcW w:w="3600" w:type="dxa"/>
          </w:tcPr>
          <w:p w:rsidR="00F9442D" w:rsidRDefault="00F9442D"/>
        </w:tc>
      </w:tr>
      <w:tr w:rsidR="00F9442D">
        <w:tc>
          <w:tcPr>
            <w:tcW w:w="9985" w:type="dxa"/>
            <w:gridSpan w:val="3"/>
            <w:shd w:val="clear" w:color="auto" w:fill="F2F2F2"/>
          </w:tcPr>
          <w:p w:rsidR="00F9442D" w:rsidRDefault="002D73F2">
            <w:pPr>
              <w:rPr>
                <w:b/>
              </w:rPr>
            </w:pPr>
            <w:r>
              <w:rPr>
                <w:b/>
              </w:rPr>
              <w:t>Strategies:</w:t>
            </w:r>
          </w:p>
        </w:tc>
      </w:tr>
      <w:tr w:rsidR="00F9442D">
        <w:tc>
          <w:tcPr>
            <w:tcW w:w="9985" w:type="dxa"/>
            <w:gridSpan w:val="3"/>
          </w:tcPr>
          <w:p w:rsidR="00F9442D" w:rsidRDefault="002D73F2">
            <w:pPr>
              <w:rPr>
                <w:sz w:val="24"/>
                <w:szCs w:val="24"/>
              </w:rPr>
            </w:pPr>
            <w:r>
              <w:rPr>
                <w:sz w:val="24"/>
                <w:szCs w:val="24"/>
              </w:rPr>
              <w:t xml:space="preserve">-Implement Caring Schools Curriculum. This will include teachers establishing time for routine sharing circles and check-ins. </w:t>
            </w:r>
          </w:p>
        </w:tc>
      </w:tr>
      <w:tr w:rsidR="00F9442D">
        <w:tc>
          <w:tcPr>
            <w:tcW w:w="9985" w:type="dxa"/>
            <w:gridSpan w:val="3"/>
          </w:tcPr>
          <w:p w:rsidR="00F9442D" w:rsidRDefault="002D73F2">
            <w:pPr>
              <w:rPr>
                <w:sz w:val="24"/>
                <w:szCs w:val="24"/>
              </w:rPr>
            </w:pPr>
            <w:r>
              <w:rPr>
                <w:sz w:val="24"/>
                <w:szCs w:val="24"/>
              </w:rPr>
              <w:lastRenderedPageBreak/>
              <w:t xml:space="preserve">-A continued focus on Culturally Relevant Pedagogy and building staff and student relationships. </w:t>
            </w:r>
          </w:p>
          <w:p w:rsidR="00F9442D" w:rsidRDefault="002D73F2">
            <w:pPr>
              <w:rPr>
                <w:sz w:val="24"/>
                <w:szCs w:val="24"/>
              </w:rPr>
            </w:pPr>
            <w:r>
              <w:rPr>
                <w:sz w:val="24"/>
                <w:szCs w:val="24"/>
              </w:rPr>
              <w:t>-Identify students. Teachers will find multiple ways to know students as they are known.</w:t>
            </w:r>
          </w:p>
        </w:tc>
      </w:tr>
      <w:tr w:rsidR="00F9442D">
        <w:tc>
          <w:tcPr>
            <w:tcW w:w="9985" w:type="dxa"/>
            <w:gridSpan w:val="3"/>
          </w:tcPr>
          <w:p w:rsidR="00F9442D" w:rsidRDefault="002D73F2">
            <w:pPr>
              <w:rPr>
                <w:sz w:val="24"/>
                <w:szCs w:val="24"/>
              </w:rPr>
            </w:pPr>
            <w:r>
              <w:rPr>
                <w:sz w:val="24"/>
                <w:szCs w:val="24"/>
              </w:rPr>
              <w:t xml:space="preserve">-Include a well-being related focus in school-based PD - For example, at our December school based PD we focused on implicit bias and enhancing student voice. </w:t>
            </w:r>
          </w:p>
          <w:p w:rsidR="00F9442D" w:rsidRDefault="002D73F2">
            <w:pPr>
              <w:rPr>
                <w:sz w:val="24"/>
                <w:szCs w:val="24"/>
              </w:rPr>
            </w:pPr>
            <w:r>
              <w:rPr>
                <w:sz w:val="24"/>
                <w:szCs w:val="24"/>
              </w:rPr>
              <w:t>Next U</w:t>
            </w:r>
            <w:r>
              <w:rPr>
                <w:sz w:val="24"/>
                <w:szCs w:val="24"/>
              </w:rPr>
              <w:t>p- Building Grit and Resiliency skills for students</w:t>
            </w:r>
          </w:p>
        </w:tc>
      </w:tr>
      <w:tr w:rsidR="00F9442D">
        <w:tc>
          <w:tcPr>
            <w:tcW w:w="9985" w:type="dxa"/>
            <w:gridSpan w:val="3"/>
          </w:tcPr>
          <w:p w:rsidR="00F9442D" w:rsidRDefault="002D73F2">
            <w:pPr>
              <w:rPr>
                <w:sz w:val="24"/>
                <w:szCs w:val="24"/>
              </w:rPr>
            </w:pPr>
            <w:r>
              <w:rPr>
                <w:sz w:val="24"/>
                <w:szCs w:val="24"/>
              </w:rPr>
              <w:t>-Provide opportunities for students to be positive role-models and to build positive peer relationships. For example, we have established a grade six leadership team and are working toward an intramurals</w:t>
            </w:r>
            <w:r>
              <w:rPr>
                <w:sz w:val="24"/>
                <w:szCs w:val="24"/>
              </w:rPr>
              <w:t xml:space="preserve"> program. (Covid Regulations dependent)</w:t>
            </w:r>
          </w:p>
        </w:tc>
      </w:tr>
    </w:tbl>
    <w:p w:rsidR="00F9442D" w:rsidRDefault="002D73F2">
      <w:pPr>
        <w:spacing w:line="276" w:lineRule="auto"/>
        <w:rPr>
          <w:b/>
        </w:rPr>
      </w:pPr>
      <w:r>
        <w:rPr>
          <w:b/>
        </w:rPr>
        <w:t xml:space="preserve">Date shared with SAC: Will be in January 2022 </w:t>
      </w:r>
      <w:r>
        <w:rPr>
          <w:i/>
          <w:sz w:val="18"/>
          <w:szCs w:val="18"/>
        </w:rPr>
        <w:t>[DD/MM/YYYY]</w:t>
      </w:r>
      <w:r>
        <w:rPr>
          <w:b/>
        </w:rPr>
        <w:t xml:space="preserve">: </w:t>
      </w:r>
    </w:p>
    <w:sectPr w:rsidR="00F9442D">
      <w:footerReference w:type="default" r:id="rId8"/>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3F2" w:rsidRDefault="002D73F2">
      <w:pPr>
        <w:spacing w:after="0" w:line="240" w:lineRule="auto"/>
      </w:pPr>
      <w:r>
        <w:separator/>
      </w:r>
    </w:p>
  </w:endnote>
  <w:endnote w:type="continuationSeparator" w:id="0">
    <w:p w:rsidR="002D73F2" w:rsidRDefault="002D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2D" w:rsidRDefault="002D73F2">
    <w:pPr>
      <w:pBdr>
        <w:top w:val="nil"/>
        <w:left w:val="nil"/>
        <w:bottom w:val="nil"/>
        <w:right w:val="nil"/>
        <w:between w:val="nil"/>
      </w:pBdr>
      <w:tabs>
        <w:tab w:val="center" w:pos="4680"/>
        <w:tab w:val="right" w:pos="9360"/>
      </w:tabs>
      <w:spacing w:after="0" w:line="240" w:lineRule="auto"/>
      <w:jc w:val="center"/>
      <w:rPr>
        <w:color w:val="7F7F7F"/>
        <w:sz w:val="20"/>
        <w:szCs w:val="20"/>
      </w:rPr>
    </w:pPr>
    <w:r>
      <w:rPr>
        <w:b/>
        <w:color w:val="7F7F7F"/>
        <w:sz w:val="20"/>
        <w:szCs w:val="20"/>
      </w:rPr>
      <w:t>School Student Success Plan</w:t>
    </w:r>
    <w:r>
      <w:rPr>
        <w:color w:val="7F7F7F"/>
        <w:sz w:val="20"/>
        <w:szCs w:val="20"/>
      </w:rPr>
      <w:tab/>
    </w:r>
    <w:r>
      <w:rPr>
        <w:color w:val="7F7F7F"/>
        <w:sz w:val="20"/>
        <w:szCs w:val="20"/>
      </w:rPr>
      <w:tab/>
      <w:t xml:space="preserve">Page </w:t>
    </w:r>
    <w:r>
      <w:rPr>
        <w:color w:val="7F7F7F"/>
        <w:sz w:val="20"/>
        <w:szCs w:val="20"/>
      </w:rPr>
      <w:fldChar w:fldCharType="begin"/>
    </w:r>
    <w:r>
      <w:rPr>
        <w:color w:val="7F7F7F"/>
        <w:sz w:val="20"/>
        <w:szCs w:val="20"/>
      </w:rPr>
      <w:instrText>PAGE</w:instrText>
    </w:r>
    <w:r w:rsidR="00DB5FCC">
      <w:rPr>
        <w:color w:val="7F7F7F"/>
        <w:sz w:val="20"/>
        <w:szCs w:val="20"/>
      </w:rPr>
      <w:fldChar w:fldCharType="separate"/>
    </w:r>
    <w:r w:rsidR="00DB5FCC">
      <w:rPr>
        <w:noProof/>
        <w:color w:val="7F7F7F"/>
        <w:sz w:val="20"/>
        <w:szCs w:val="20"/>
      </w:rPr>
      <w:t>3</w:t>
    </w:r>
    <w:r>
      <w:rPr>
        <w:color w:val="7F7F7F"/>
        <w:sz w:val="20"/>
        <w:szCs w:val="20"/>
      </w:rPr>
      <w:fldChar w:fldCharType="end"/>
    </w:r>
    <w:r>
      <w:rPr>
        <w:color w:val="7F7F7F"/>
        <w:sz w:val="20"/>
        <w:szCs w:val="20"/>
      </w:rPr>
      <w:t xml:space="preserve"> of </w:t>
    </w:r>
    <w:r>
      <w:rPr>
        <w:color w:val="7F7F7F"/>
        <w:sz w:val="20"/>
        <w:szCs w:val="20"/>
      </w:rPr>
      <w:fldChar w:fldCharType="begin"/>
    </w:r>
    <w:r>
      <w:rPr>
        <w:color w:val="7F7F7F"/>
        <w:sz w:val="20"/>
        <w:szCs w:val="20"/>
      </w:rPr>
      <w:instrText>NUMPAGES</w:instrText>
    </w:r>
    <w:r w:rsidR="00DB5FCC">
      <w:rPr>
        <w:color w:val="7F7F7F"/>
        <w:sz w:val="20"/>
        <w:szCs w:val="20"/>
      </w:rPr>
      <w:fldChar w:fldCharType="separate"/>
    </w:r>
    <w:r w:rsidR="00DB5FCC">
      <w:rPr>
        <w:noProof/>
        <w:color w:val="7F7F7F"/>
        <w:sz w:val="20"/>
        <w:szCs w:val="20"/>
      </w:rPr>
      <w:t>3</w:t>
    </w:r>
    <w:r>
      <w:rPr>
        <w:color w:val="7F7F7F"/>
        <w:sz w:val="20"/>
        <w:szCs w:val="20"/>
      </w:rPr>
      <w:fldChar w:fldCharType="end"/>
    </w:r>
  </w:p>
  <w:p w:rsidR="00F9442D" w:rsidRDefault="00F9442D">
    <w:pPr>
      <w:pBdr>
        <w:top w:val="nil"/>
        <w:left w:val="nil"/>
        <w:bottom w:val="nil"/>
        <w:right w:val="nil"/>
        <w:between w:val="nil"/>
      </w:pBdr>
      <w:tabs>
        <w:tab w:val="center" w:pos="4680"/>
        <w:tab w:val="right" w:pos="9360"/>
      </w:tabs>
      <w:spacing w:after="0" w:line="240" w:lineRule="auto"/>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3F2" w:rsidRDefault="002D73F2">
      <w:pPr>
        <w:spacing w:after="0" w:line="240" w:lineRule="auto"/>
      </w:pPr>
      <w:r>
        <w:separator/>
      </w:r>
    </w:p>
  </w:footnote>
  <w:footnote w:type="continuationSeparator" w:id="0">
    <w:p w:rsidR="002D73F2" w:rsidRDefault="002D73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2D"/>
    <w:rsid w:val="002D73F2"/>
    <w:rsid w:val="00DB5FCC"/>
    <w:rsid w:val="00F944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37CB0-8163-4AC8-9647-2BDFACD5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C5"/>
  </w:style>
  <w:style w:type="paragraph" w:styleId="Heading1">
    <w:name w:val="heading 1"/>
    <w:basedOn w:val="Normal"/>
    <w:next w:val="Normal"/>
    <w:link w:val="Heading1Char"/>
    <w:uiPriority w:val="1"/>
    <w:qFormat/>
    <w:rsid w:val="00843EF2"/>
    <w:pPr>
      <w:keepNext/>
      <w:keepLines/>
      <w:spacing w:before="240" w:after="0"/>
      <w:outlineLvl w:val="0"/>
    </w:pPr>
    <w:rPr>
      <w:rFonts w:eastAsiaTheme="majorEastAsia" w:cstheme="majorBidi"/>
      <w:sz w:val="48"/>
      <w:szCs w:val="32"/>
    </w:rPr>
  </w:style>
  <w:style w:type="paragraph" w:styleId="Heading2">
    <w:name w:val="heading 2"/>
    <w:basedOn w:val="Normal"/>
    <w:next w:val="Normal"/>
    <w:link w:val="Heading2Char"/>
    <w:uiPriority w:val="9"/>
    <w:semiHidden/>
    <w:unhideWhenUsed/>
    <w:qFormat/>
    <w:rsid w:val="00FE4B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E4B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E4B2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002C5"/>
    <w:pPr>
      <w:ind w:left="720"/>
      <w:contextualSpacing/>
    </w:pPr>
  </w:style>
  <w:style w:type="table" w:styleId="TableGrid">
    <w:name w:val="Table Grid"/>
    <w:basedOn w:val="TableNormal"/>
    <w:uiPriority w:val="39"/>
    <w:rsid w:val="0040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43EF2"/>
    <w:rPr>
      <w:rFonts w:ascii="Calibri" w:eastAsiaTheme="majorEastAsia" w:hAnsi="Calibri" w:cstheme="majorBidi"/>
      <w:sz w:val="48"/>
      <w:szCs w:val="32"/>
    </w:rPr>
  </w:style>
  <w:style w:type="character" w:customStyle="1" w:styleId="Heading2Char">
    <w:name w:val="Heading 2 Char"/>
    <w:basedOn w:val="DefaultParagraphFont"/>
    <w:link w:val="Heading2"/>
    <w:uiPriority w:val="9"/>
    <w:semiHidden/>
    <w:rsid w:val="00FE4B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E4B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E4B28"/>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576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6B1"/>
  </w:style>
  <w:style w:type="paragraph" w:styleId="Footer">
    <w:name w:val="footer"/>
    <w:basedOn w:val="Normal"/>
    <w:link w:val="FooterChar"/>
    <w:uiPriority w:val="99"/>
    <w:unhideWhenUsed/>
    <w:rsid w:val="00576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6B1"/>
  </w:style>
  <w:style w:type="paragraph" w:styleId="NoSpacing">
    <w:name w:val="No Spacing"/>
    <w:uiPriority w:val="1"/>
    <w:qFormat/>
    <w:rsid w:val="00956C16"/>
    <w:pPr>
      <w:spacing w:after="0" w:line="240" w:lineRule="auto"/>
    </w:pPr>
  </w:style>
  <w:style w:type="paragraph" w:styleId="BalloonText">
    <w:name w:val="Balloon Text"/>
    <w:basedOn w:val="Normal"/>
    <w:link w:val="BalloonTextChar"/>
    <w:uiPriority w:val="99"/>
    <w:semiHidden/>
    <w:unhideWhenUsed/>
    <w:rsid w:val="00AB7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B4E"/>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IQb0RXR1c26mlIsyhci1NT1GEw==">AMUW2mV+LJTHViNMTnnMc1a12Dx2oxyO2v8uAeDsHZroUW0CIAd+fAqjSJPtUQa0TnNCvrH6ea2gzwLMONhLSf1TBLw7HbvLIunbJmIABFFP9RfdyUe1gEm6nIHYzJX1PjueBPJoJHW1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Matheson, Kim X</dc:creator>
  <cp:lastModifiedBy>user</cp:lastModifiedBy>
  <cp:revision>2</cp:revision>
  <dcterms:created xsi:type="dcterms:W3CDTF">2021-12-20T15:05:00Z</dcterms:created>
  <dcterms:modified xsi:type="dcterms:W3CDTF">2021-12-20T15:05:00Z</dcterms:modified>
</cp:coreProperties>
</file>